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286</w:t>
      </w:r>
    </w:p>
    <w:p>
      <w:r>
        <w:t>Bundesgericht (BGE), 2006-03-29, DE</w:t>
      </w:r>
    </w:p>
    <w:p>
      <w:r>
        <w:rPr>
          <w:b/>
        </w:rPr>
        <w:t xml:space="preserve">Quelle: </w:t>
      </w:r>
      <w:r>
        <w:t>https://mcp.opencaselaw.ch/entscheid/bge_136 V 286</w:t>
      </w:r>
    </w:p>
    <w:p>
      <w:r>
        <w:t>FR: ATF 136 V 286</w:t>
      </w:r>
    </w:p>
    <w:p>
      <w:r>
        <w:t>IT: DTF 136 V 286</w:t>
      </w:r>
    </w:p>
    <w:p>
      <w:pPr>
        <w:pStyle w:val="Heading2"/>
      </w:pPr>
      <w:r>
        <w:t>Regeste</w:t>
      </w:r>
    </w:p>
    <w:p>
      <w:r>
        <w:t>Regeste Art. 50 Abs. 2 IVG; Art. 20 Abs. 2 lit. a AHVG; Art. 20 und 22 ATSG. Die Verrechnung von Rentennachzahlungen der Invalidenversicherung mit Schadenersatzforderungen nach Art. 52 AHVG richtet sich nach Art. 50 Abs. 2 IVG in Verbindung mit Art. 20 Abs. 2 lit. a AHVG und nicht nach den Bestimmungen des ATSG. Sie ist zulässig (E. 4 und 5). Hat die Sozialbehörde der versicherten Person für die Zeit, für welche Renten nachbezahlt werden, Vorschussleistungen erbracht, stellt das betreibungsrechtliche Existenzminimum keine zu berücksichtigende Verrechnungsschranke dar (E. 7 und 8).</w:t>
      </w:r>
    </w:p>
    <w:p>
      <w:pPr>
        <w:pStyle w:val="Heading2"/>
      </w:pPr>
      <w:r>
        <w:t>Erwägungen</w:t>
      </w:r>
    </w:p>
    <w:p>
      <w:r>
        <w:rPr>
          <w:b/>
        </w:rPr>
        <w:t>E. 4.1</w:t>
      </w:r>
    </w:p>
    <w:p>
      <w:r>
        <w:t>Gemäss Art. 20 Abs. 2 lit. a AHVG können mit fälligen Leistungen namentlich Forderungen aufgrund dieses Gesetzes und des BGE 136 V 286 S. 288 IVG verrechnet werden. Diese Bestimmung ist nach Art. 50 Abs. 2 IVG (in der seit 1. Januar 2003 in Kraft stehenden Fassung) auf dem Gebiet der Invalidenversicherung anwendbar. Durch den Verweis in Art. 50 Abs. 2 IVG auf Art. 20 Abs. 2 AHVG wurde normativ sowohl eine zweiginterne wie auch eine zweigübergreifende Verrechnung von Leistungen und Forderungen geschaffen (vgl. BGE 131 V 249 E. 1.2 S. 252). Gestützt auf Art. 20 Abs. 2 lit. a AHVG hat die Rechtsprechung beispielsweise die Verrechnung der von der Ehefrau beanspruchten halben Ehepaarrente mit einer Schadenersatzforderung ( Art. 52 AHVG ) gegen den Ehemann durch die Ausgleichskasse zugelassen, soweit dadurch das Existenzminimum der Betroffenen im Sinne von Art. 93 SchKG nicht berührt wird ( BGE 107 V 72 , bestätigt mit BGE 130 V 505 E. 2.4 S. 511). Die Verrechnung von Schadenersatzforderungen kann sich sowohl auf laufende Renten der ersatzpflichtigen Person beziehen (UELI KIESER, Alters- und Hinterlassenenversicherung, in: Soziale Sicherheit, SBVR Bd. XIV, 2007, S. 1295 Rz. 269) wie auch auf Rentennachzahlungen. Im Urteil I 141/05 vom 20. September 2006 hat das damalige Eidg. Versicherungsgericht die Zulässigkeit einer Verrechnung des Anspruchs auf Rentennachzahlungen der Invalidenversicherung mit ausstehenden Sozialversicherungsbeiträgen derselben Person bestätigt (vgl. in diesem Sinne auch BGE 104 V 5 und Urteil I 503/88 vom 19. April 1989 bezüglich persönlicher und paritätischer Sozialversicherungsbeiträge). Die Wegleitung des BSV über die Renten (RWL) in der Eidg. Alters-, Hinterlassenen- und Invalidenversicherung, gültig ab 1. Januar 2003 (Stand 1. Januar 2008; http://www.bsv.admin.ch/vollzug ), zählt in Rz. 10917 Schadenersatzansprüche der Ausgleichskassen im Sinne von Art. 52 AHVG ebenfalls zu den verrechenbaren Forderungen.</w:t>
      </w:r>
    </w:p>
    <w:p>
      <w:r>
        <w:rPr>
          <w:b/>
        </w:rPr>
        <w:t>E. 4.2</w:t>
      </w:r>
    </w:p>
    <w:p>
      <w:r>
        <w:t>Auf die der obigen Rechtsprechung zugrunde gelegenen Sachverhalte fanden das am 1. Januar 2003 in Kraft getretene ATSG (SR 830.1), die dazugehörige Verordnung (ATSV; SR 830.11) und die damit verbundenen Gesetzes- und Verordnungsänderungen im Alters- und Hinterlassenenversicherungs- sowie im Invalidenversicherungsbereich noch keine Anwendung. Gemäss Art. 2 ATSG sind dessen Bestimmungen auf die bundesgesetzlich geregelten Sozialversicherungen anwendbar, wenn und soweit die einzelnen Sozialversicherungsgesetze es vorsehen. Art. 1 Abs. 1 IVG erklärt die Bestimmungen des ATSG auf die Invalidenversicherung (Art. 1a-26 bis und 28-70) anwendbar, soweit das IVG nicht ausdrücklich eine Abweichung vom ATSG vorsieht. Art. 20 ATSG regelt die BGE 136 V 286 S. 289 Gewährleistung zweckmässiger Verwendung, welche sich gemäss Abs. 1 lit. a jedoch auf Geldleistungen mit dem Zweck der Unterhaltsdeckung beschränkt. Art. 20 Abs. 2 Satz 1 ATSG statuiert ein Verrechnungsverbot in Bezug auf das Verhältnis zwischen empfangenden Dritten oder Behörden und der versicherten Person, um sicherzustellen, dass mit den ausbezahlten Geldleistungen der Unterhalt der versicherten Person und nicht deren Schulden abgedeckt werden. Ausgenommen vom Verrechnungsverbot sind gemäss Art. 20 Abs. 2 Satz 2 ATSG Nachzahlungen von Leistungen im Sinne von Art. 22 Abs. 2 ATSG . Der unter der Überschrift "Sicherung der Leistung" stehende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(lit. a), sowie an eine Versicherung, die Vorleistungen erbringt (lit. b), vor. Die abzutretende Leistung muss kongruent zu den Vorschussleistungen bzw. den Vorleistungen sein (vgl. dazu KIESER, ATSG-Kommentar, 2. Aufl. 2009, N. 22 ff. zu Art. 22 ATSG ).</w:t>
      </w:r>
    </w:p>
    <w:p>
      <w:r>
        <w:rPr>
          <w:b/>
        </w:rPr>
        <w:t>E. 5.1</w:t>
      </w:r>
    </w:p>
    <w:p>
      <w:r>
        <w:t>Die Beschwerdeführerin stellt sich auf den Standpunkt, das kantonale Gericht habe mit der Zulassung der Verrechnung von Rentennachzahlungen der Invalidenversicherung mit der Schadenersatzforderung der Ausgleichskasse Art. 22 Abs. 2 ATSG verletzt, welcher Art. 50 Abs. 2 IVG in Verbindung mit Art. 20 Abs. 2 lit. a AHVG derogiere. Da es sich bei der zur Verrechnung gestellten Schadenersatzforderung nicht um Vorschussleistungen an die Beschwerdeführerin handle, schliesse das Gebot der sachlichen Kongruenz die Verrechnung aus.</w:t>
      </w:r>
    </w:p>
    <w:p>
      <w:r>
        <w:rPr>
          <w:b/>
        </w:rPr>
        <w:t>E. 5.2</w:t>
      </w:r>
    </w:p>
    <w:p>
      <w:r>
        <w:t>Der Regelungsgegenstand von Art. 22 ATSG betrifft die Abtretung bzw. Drittauszahlung und Verpfändung von Leistungsansprüchen (SVR 2007 UV Nr. 38 S. 128, U 507/05 E. 4.1). Aus der Entstehungsgeschichte von Art. 22 Abs. 2 ATSG geht hervor, dass es nach dem Willen des Gesetzgebers einerseits darum ging, die Drittauszahlungsregelung auf die Nachzahlungen von Sozialversicherungsleistungen einzuschränken, und andererseits darum, eine vollständige gesetzliche Grundlage für Drittauszahlungen der Invalidenversicherung nach Massgabe von Art. 85 bis IVV (SR 831.201) zu schaffen (Urteil des Eidg. Versicherungsgerichts I 428/05 vom 18. April 2006 E. 4.3). Art. 22 ATSG übernimmt damit die bisherige BGE 136 V 286 S. 290 Rechtsgrundlage von Art. 50 Abs. 2 IVG (in der bis Ende 2002 in Kraft gestandenen Fassung; KIESER, ATSG-Kommentar, a.a.O., N. 47 zu Art. 22 ATSG ; GABRIELA RIEMER-KAFKA, Auszahlung von Sozialversicherungsleistungen an bevorschussende Dritte, in: Aktuelle Rechtsfragen der Sozialversicherungspraxis, 2001, S. 118; FRANZ SCHLAURI, Die zweigübergreifende Verrechnung und weitere Instrumente der Vollstreckungskoordination des Sozialversicherungsrechts, in: Sozialversicherungsrechtstagung 2004, S. 187 ff.). Gemäss dem unter der Überschrift "Nachzahlungen an bevorschussende Dritte" stehenden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Vorbehalten bleibt gemäss Art. 85 bis Abs. 1 IVV die Verrechnung nach Art. 20 AHVG .</w:t>
      </w:r>
    </w:p>
    <w:p>
      <w:r>
        <w:rPr>
          <w:b/>
        </w:rPr>
        <w:t>E. 5.3</w:t>
      </w:r>
    </w:p>
    <w:p>
      <w:r>
        <w:t>Im vorliegenden Fall geht es nicht um die Tilgung einer Rückerstattungsforderung gegen die versicherte Person aus Vorleistung oder Bevorschussung im Sinne von Art. 22 Abs. 2 ATSG und Art. 85 bis Abs. 1 IVV . Auch die Verrechnungseinschränkung von Art. 20 Abs. 2 ATSG kommt daher nicht zum Tragen. Es geht vielmehr um die Tilgung einer Schuld der mit einer fälligen Leistungspflicht belasteten Sozialversicherung (IV) mit Forderungen einer anderen Sozialversicherung (AHV). Bezüglich dieser in Art. 20 Abs. 2 AHVG normierten Konstellation wurde die Rechtslage mit der Einführung des ATSG nicht verändert. Der Gesetzgeber hat vielmehr - entgegen seiner ursprünglichen Absicht - darauf verzichtet, diese zweigübergreifende Verrechnung im ATSG zu regeln (KIESER, ATSG-Kommentar, a.a.O., N. 35 Vorbemerkungen und N. 19 zu Art. 20 ATSG ; SCHLAURI, a.a.O., S. 145 und 157). Da das ATSG somit keine allgemeine Verrechnungsnorm enthält ( BGE 131 V 249 E. 1.2 S. 252), richtet sich die Tilgung von Forderungen mittels Verrechnung - wie bereits vor Inkrafttreten des ATSG ( BGE 125 V 317 E. 5b/bb S. 323) - nach den zweigbezogenen sozialversicherungsrechtlichen Bestimmungen (vgl. auch Art. 2 Abs. 3 ATSV ; SVR 2007 UV Nr. 38 S. 128, U 507/05 E. 4.1; KIESER, Bundesgesetz über den Allgemeinen Teil des Sozialversicherungsrechts [ATSG], in: Soziale Sicherheit, SBVR Bd. XIV, 2007, S. 259 Rz. 68 Fn. 156 und S. 263 Rz. 84). Nach dem Gesagten BGE 136 V 286 S. 291 gilt die gemäss bisheriger Rechtsprechung (vgl. E. 4.1) zugelassene Verrechnung von Schadenersatzforderungen nach Art. 52 AHVG mit Rentenzahlungen der Invalidenversicherung unter der Herrschaft des ATSG weiterhin.</w:t>
      </w:r>
    </w:p>
    <w:p>
      <w:r>
        <w:rPr>
          <w:b/>
        </w:rPr>
        <w:t>E. 5.4</w:t>
      </w:r>
    </w:p>
    <w:p>
      <w:r>
        <w:t>Zusammenfassend hat das kantonale Gericht somit kein Bundesrecht verletzt, wenn es die Verrechnung von Nachzahlungen der Invalidenversicherung mit Schadenersatzforderungen nach Art. 52 AHVG grundsätzlich für zulässig betrachtet hat.</w:t>
      </w:r>
    </w:p>
    <w:p>
      <w:r>
        <w:rPr>
          <w:b/>
        </w:rPr>
        <w:t>E. 6.1</w:t>
      </w:r>
    </w:p>
    <w:p>
      <w:r>
        <w:t>Institutionen der Sozialversicherung dürfen Forderungen nur soweit mit Versicherungsleistungen verrechnen, als dadurch das betreibungsrechtliche Existenzminimum der versicherten Person nicht tangiert wird (SVR 2007 BVG Nr. 15 S. 49, B 63/05 E. 3.1; Urteil I 141/05 vom 20. September 2006 E. 3.3; je mit Hinweisen auf die Rechtsprechung: BGE 131 V 249 E. 1.2 S. 252; BGE 130 V 505 E. 2.4 S. 510; BGE 115 V 341 E. 2c S. 343; BGE 113 V 280 E. 5b S. 285; BGE 111 V 99 E. 3b S. 103; BGE 108 V 49 E. 1 in fine; BGE 107 V 72 E. 2 S. 75; BGE 106 V 137 ).</w:t>
      </w:r>
    </w:p>
    <w:p>
      <w:r>
        <w:rPr>
          <w:b/>
        </w:rPr>
        <w:t>E. 6.2</w:t>
      </w:r>
    </w:p>
    <w:p>
      <w:r>
        <w:t>Nach der Rechtsprechung stellt sich die Frage der Zulässigkeit einer Verrechnung unter dem Gesichtspunkt der Wahrung des betreibungsrechtlichen Existenzminimums nicht nur bei einer laufenden, monatlich ausgerichteten Rente, sondern auch bei Rentennachzahlungen. Zur Begründung wird angeführt, auch diese hätten zum Zweck, den Existenzbedarf der versicherten Person zu decken ( Art. 34 quater Abs. 2 Satz 3 aBV ; Art. 112 Abs. 2 lit. b BV ), und zwar in jener Zeitspanne, für die sie nachbezahlt werden (Urteil des Eidg. Versicherungsgerichts I 305/03 vom 15. Februar 2005 E. 4 mit Hinweis auf die Urteile I 375/90 vom 10. Juni 1992 E. 5b/aa; I 503/88 vom 19. April 1989 und H 153/85 vom 29. April 1986 E. 2b; vgl. auch Urteil I 141/05 vom 20. September 2006 E. 5.3.1). Davon gehen auch die Verwaltungsweisungen des BSV aus, wobei für die Prüfung des betreibungsrechtlichen Existenzminimums in einem solchen Fall diejenige Zeitspanne massgebend ist, für welche die Nachzahlung bestimmt ist (Rz. 10921 RWL). Im Urteil I 141/05 vom 20. September 2006 E. 5.3 bezeichnete das Eidg. Versicherungsgericht die Auffassung des kantonalen Gerichts als prüfenswert, dass das Fehlen einer Rente in der Vergangenheit allenfalls zu einer Unterschreitung des Existenzminimums geführt habe, sei grundsätzlich nicht von Belang, weil der Verzicht auf die Verrechnung der Nachzahlung für verflossene Zeiten nicht zu einem besseren Leben führe. Die Frage wurde schliesslich offengelassen. BGE 136 V 286 S. 292</w:t>
      </w:r>
    </w:p>
    <w:p>
      <w:r>
        <w:rPr>
          <w:b/>
        </w:rPr>
        <w:t>E. 7.1</w:t>
      </w:r>
    </w:p>
    <w:p>
      <w:r>
        <w:t>Nach den Feststellungen des kantonalen Gerichts wurde die Beschwerdeführerin in der Zeit vom 1. Januar 2006 bis 31. Oktober 2008 von der öffentlichen Fürsorge unterstützt. Unter Hinweis auf BGE 121 V 17 E. 4d S. 26 hat es erwogen, die grundsätzlich auch bei Rentennachzahlungen zu beachtende Verrechnungsschranke des betreibungsrechtlichen Existenzminimums komme nicht zum Zuge, wenn die versicherte Person in der Zeit, für welche ihr nachträglich Invalidenrenten zugesprochen worden seien, Sozialhilfe genossen habe und ihr Existenzminimum so sichergestellt worden sei. In Anbetracht der während der Zeit der nachträglichen Rentenzusprache ausgerichteten Vorschussleistungen der Sozialbehörde sei das Existenzminimum der Beschwerdeführerin gedeckt gewesen. Ob die Verrechnung in das betreibungsrechtliche Existenzminimum eingreife, müsse daher nicht näher geprüft werden.</w:t>
      </w:r>
    </w:p>
    <w:p>
      <w:r>
        <w:rPr>
          <w:b/>
        </w:rPr>
        <w:t>E. 7.2</w:t>
      </w:r>
    </w:p>
    <w:p>
      <w:r>
        <w:t>Die Beschwerdeführerin bestreitet dies und rügt eine Verletzung des Untersuchungsgrundsatzes sowie eine offensichtlich unzutreffende Feststellung des Sachverhalts. Das betreibungsrechtliche Existenzminimum sei in der fraglichen Zeit weder durch die IV-Stelle noch durch Sozialleistungen gedeckt gewesen.</w:t>
      </w:r>
    </w:p>
    <w:p>
      <w:r>
        <w:rPr>
          <w:b/>
        </w:rPr>
        <w:t>E. 7.3</w:t>
      </w:r>
    </w:p>
    <w:p>
      <w:r>
        <w:t>Die beigeladene Ausgleichskasse stellt sich in ihrer Vernehmlassung auf den Standpunkt, im Falle der Verrechnung mit einer Rentennachzahlung falle die Verrechnungsschranke des betreibungsrechtlichen Existenzminimums - anders als im Falle der Verrechnung mit einer laufenden Rente - generell ausser Betracht. Dies gelte umso mehr, wenn die versicherte Person während den Nachzahlungsperioden Sozialhilfe bezogen habe.</w:t>
      </w:r>
    </w:p>
    <w:p>
      <w:r>
        <w:rPr>
          <w:b/>
        </w:rPr>
        <w:t>E. 8.1</w:t>
      </w:r>
    </w:p>
    <w:p>
      <w:r>
        <w:t>In SVR 2007 BVG Nr. 15 S. 49, B 63/05 E. 3.2 hat das Eidg. Versicherungsgericht unter Hinweis auf die Rechtsprechung ( BGE 121 V 17 E. 4d S. 26; SVR 2005 ALV Nr. 5 S. 13, C 12/04 E. 2.3; Urteil I 255/91 vom 18. Mai 1992 E. 2b) erwogen, die Verrechnungsschranke des Existenzminimums komme nicht zum Tragen, wenn dieses in der fraglichen Zeit durch Leistungen der Sozialhilfe sichergestellt gewesen sei. Voraussetzung sei allerdings, dass die Sozialhilfe die Leistungen erbringe für die Zeitspanne, während welcher die versicherte Person auf den Entscheid eines Sozialversicherungsträgers über die Anspruchsberechtigung gewartet und anschliessend rückwirkend Versicherungsleistungen zugesprochen erhalten habe. BGE 136 V 286 S. 293 Die in SVR 2007 BVG Nr. 15 S. 49 zitierten Urteile betrafen die Drittauszahlung von Rentennachzahlungen an die bevorschussende Sozialbehörde. In einem solchen Fall verlangt die Fürsorgebehörde vom Sozialversicherer die Überweisung der Rentenleistungen für einen Zeitraum, für den sie die versicherte Person unterstützt hat. Könnte sich die versicherte Person in einem solchen Fall auf das Existenzminimum berufen und die Auszahlung in diesem Umfang an sich selbst verlangen, käme sie zweimal in den Genuss von Leistungen.</w:t>
      </w:r>
    </w:p>
    <w:p>
      <w:r>
        <w:rPr>
          <w:b/>
        </w:rPr>
        <w:t>E. 8.2</w:t>
      </w:r>
    </w:p>
    <w:p>
      <w:r>
        <w:t>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w:t>
      </w:r>
    </w:p>
    <w:p>
      <w:r>
        <w:rPr>
          <w:b/>
        </w:rPr>
        <w:t>E. 8.3</w:t>
      </w:r>
    </w:p>
    <w:p>
      <w:r>
        <w:t>Damit ergibt sich, dass das kantonale Gericht, ohne Bundesrecht zu verletzen, davon ausgehen konnte, dass die Verrechnungsschranke des Existenzminimums nicht gilt, weil die Sozialbehörde für die Zeit des nachträglichen Rentenanspruchs der Beschwerdeführerin Leistungen ausgerichtet hat. Nicht geprüft werden muss daher die im Urteil I 141/05 vom 20. September 2006 offengelassene Frage, ob bei Rentennachzahlungen die Zulässigkeit einer Verrechnung generell nicht mehr unter dem Gesichtspunkt der Wahrung des betreibungsrechtlichen Existenzminimums zu prüfen ist. Beim vorliegenden Ergebnis spielen die Höhe des betreibungsrechtlichen BGE 136 V 286 S. 294 Existenzminimums und der Fürsorgeleistungen keine Rolle. Es kann daher offenbleiben, ob es sich bei den von der Beschwerdeführerin nachgereichten Unterlagen um zulässige Noven im Sinne von Art. 99 BGG handelt. Eine Verrechnung mit laufenden Renten wurde in der Verfügung vom 26. November 2008 nicht angeordnet, weshalb nicht zu prüfen ist, wie es sich diesbezüglich mit der Wahrung des Existenzminimums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